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7D" w:rsidRPr="0074587D" w:rsidRDefault="0074587D" w:rsidP="0074587D">
      <w:pPr>
        <w:jc w:val="center"/>
        <w:rPr>
          <w:sz w:val="32"/>
          <w:szCs w:val="32"/>
        </w:rPr>
      </w:pPr>
      <w:r w:rsidRPr="0074587D">
        <w:rPr>
          <w:sz w:val="32"/>
          <w:szCs w:val="32"/>
        </w:rPr>
        <w:t>Tikkun Olam and Emulating G-d</w:t>
      </w:r>
    </w:p>
    <w:p w:rsidR="0074587D" w:rsidRDefault="0074587D" w:rsidP="00117302">
      <w:pPr>
        <w:pStyle w:val="ListParagraph"/>
        <w:jc w:val="center"/>
      </w:pPr>
      <w:r w:rsidRPr="00117302">
        <w:rPr>
          <w:b/>
          <w:bCs/>
          <w:sz w:val="36"/>
          <w:szCs w:val="36"/>
        </w:rPr>
        <w:t>Philosophy</w:t>
      </w:r>
      <w:r>
        <w:t>:</w:t>
      </w:r>
    </w:p>
    <w:p w:rsidR="0074587D" w:rsidRPr="00AF4243" w:rsidRDefault="0074587D" w:rsidP="0074587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AF4243">
        <w:rPr>
          <w:sz w:val="36"/>
          <w:szCs w:val="36"/>
        </w:rPr>
        <w:t>Tikkun Olam: Why are we responsible for it? B/c we need to ______________ G-d.</w:t>
      </w:r>
    </w:p>
    <w:p w:rsidR="00E94084" w:rsidRPr="0074587D" w:rsidRDefault="0074587D" w:rsidP="00AF4243">
      <w:pPr>
        <w:rPr>
          <w:b/>
          <w:bCs/>
        </w:rPr>
      </w:pPr>
      <w:r w:rsidRPr="00AF4243">
        <w:rPr>
          <w:rStyle w:val="Heading2Char"/>
        </w:rPr>
        <w:t>What are G-d’s qualities?</w:t>
      </w:r>
      <w:r w:rsidR="00AF4243" w:rsidRPr="00AF4243">
        <w:rPr>
          <w:rStyle w:val="Heading2Char"/>
        </w:rPr>
        <w:t xml:space="preserve">     </w:t>
      </w:r>
      <w:r w:rsidR="00E94084" w:rsidRPr="00AF4243">
        <w:rPr>
          <w:rStyle w:val="Heading2Char"/>
        </w:rPr>
        <w:t>Source</w:t>
      </w:r>
      <w:r w:rsidRPr="00AF4243">
        <w:rPr>
          <w:rStyle w:val="Heading2Char"/>
        </w:rPr>
        <w:t>s</w:t>
      </w:r>
      <w:r>
        <w:rPr>
          <w:b/>
          <w:bCs/>
        </w:rPr>
        <w:t>:</w:t>
      </w:r>
    </w:p>
    <w:p w:rsidR="00C51CED" w:rsidRPr="00C51CED" w:rsidRDefault="0095081F" w:rsidP="0074587D">
      <w:pPr>
        <w:pStyle w:val="ListParagraph"/>
        <w:numPr>
          <w:ilvl w:val="0"/>
          <w:numId w:val="1"/>
        </w:numPr>
        <w:rPr>
          <w:rStyle w:val="psuq1"/>
          <w:rFonts w:cstheme="minorBidi" w:hint="default"/>
          <w:color w:val="auto"/>
          <w:sz w:val="22"/>
          <w:szCs w:val="22"/>
        </w:rPr>
      </w:pPr>
      <w:r w:rsidRPr="00C51CED">
        <w:rPr>
          <w:rStyle w:val="psuq1"/>
          <w:rFonts w:cstheme="minorBidi" w:hint="default"/>
          <w:b/>
          <w:bCs/>
          <w:color w:val="auto"/>
          <w:sz w:val="22"/>
          <w:szCs w:val="22"/>
        </w:rPr>
        <w:t xml:space="preserve">Shmot 34:5-7 </w:t>
      </w:r>
      <w:r w:rsidR="00C51CED" w:rsidRPr="00C51CED">
        <w:rPr>
          <w:rStyle w:val="psuq1"/>
          <w:rFonts w:cstheme="minorBidi" w:hint="default"/>
          <w:b/>
          <w:bCs/>
          <w:color w:val="auto"/>
          <w:sz w:val="22"/>
          <w:szCs w:val="22"/>
        </w:rPr>
        <w:t xml:space="preserve">: </w:t>
      </w:r>
    </w:p>
    <w:p w:rsidR="00C51CED" w:rsidRPr="00C51CED" w:rsidRDefault="0095081F" w:rsidP="00C51CED">
      <w:pPr>
        <w:ind w:left="360"/>
        <w:rPr>
          <w:rStyle w:val="psuq1"/>
          <w:rFonts w:cstheme="minorBidi" w:hint="default"/>
          <w:color w:val="auto"/>
          <w:sz w:val="22"/>
          <w:szCs w:val="22"/>
        </w:rPr>
      </w:pPr>
      <w:r w:rsidRPr="00C51CED">
        <w:rPr>
          <w:rStyle w:val="psuq1"/>
          <w:rFonts w:hint="default"/>
          <w:sz w:val="25"/>
          <w:szCs w:val="25"/>
          <w:rtl/>
        </w:rPr>
        <w:t xml:space="preserve">ה' ה', אֵל רַחוּם וְחַנּוּן - אֶרֶךְ אַפַּיִם, וְרַב-חֶסֶד וֶאֱמֶת. </w:t>
      </w:r>
    </w:p>
    <w:p w:rsidR="0095081F" w:rsidRPr="00C51CED" w:rsidRDefault="0095081F" w:rsidP="00C51CED">
      <w:pPr>
        <w:ind w:left="360"/>
        <w:rPr>
          <w:rStyle w:val="psuq1"/>
          <w:rFonts w:cstheme="minorBidi" w:hint="default"/>
          <w:color w:val="auto"/>
          <w:sz w:val="22"/>
          <w:szCs w:val="22"/>
        </w:rPr>
      </w:pPr>
      <w:r w:rsidRPr="00C51CED">
        <w:rPr>
          <w:rStyle w:val="psuq1"/>
          <w:rFonts w:hint="default"/>
          <w:sz w:val="25"/>
          <w:szCs w:val="25"/>
          <w:rtl/>
        </w:rPr>
        <w:t xml:space="preserve">נֹצֵר חֶסֶד לָאֲלָפִים, </w:t>
      </w:r>
      <w:r w:rsidRPr="00C51CED">
        <w:rPr>
          <w:rStyle w:val="psuq1"/>
          <w:rFonts w:hint="default"/>
          <w:b/>
          <w:bCs/>
          <w:sz w:val="25"/>
          <w:szCs w:val="25"/>
          <w:rtl/>
        </w:rPr>
        <w:t>נֹשֵׂא עָוון</w:t>
      </w:r>
      <w:r w:rsidRPr="00C51CED">
        <w:rPr>
          <w:rStyle w:val="psuq1"/>
          <w:rFonts w:hint="default"/>
          <w:sz w:val="25"/>
          <w:szCs w:val="25"/>
          <w:rtl/>
        </w:rPr>
        <w:t xml:space="preserve"> וָפֶשַׁע וְחַטָּאָה</w:t>
      </w:r>
    </w:p>
    <w:p w:rsidR="0074587D" w:rsidRPr="0095081F" w:rsidRDefault="0074587D" w:rsidP="0074587D">
      <w:pPr>
        <w:pStyle w:val="ListParagraph"/>
        <w:numPr>
          <w:ilvl w:val="0"/>
          <w:numId w:val="1"/>
        </w:numPr>
        <w:rPr>
          <w:rStyle w:val="psuq1"/>
          <w:rFonts w:cstheme="minorBidi" w:hint="default"/>
          <w:color w:val="auto"/>
          <w:sz w:val="22"/>
          <w:szCs w:val="22"/>
        </w:rPr>
      </w:pPr>
      <w:r>
        <w:rPr>
          <w:rStyle w:val="psuq1"/>
          <w:rFonts w:hint="default"/>
          <w:sz w:val="25"/>
          <w:szCs w:val="25"/>
          <w:rtl/>
        </w:rPr>
        <w:t>קדושים תהיו</w:t>
      </w:r>
      <w:r w:rsidR="0022501F">
        <w:rPr>
          <w:rStyle w:val="psuq1"/>
          <w:rFonts w:hint="default"/>
          <w:sz w:val="25"/>
          <w:szCs w:val="25"/>
          <w:rtl/>
        </w:rPr>
        <w:t xml:space="preserve"> כי </w:t>
      </w:r>
      <w:r w:rsidR="0022501F" w:rsidRPr="00242D0A">
        <w:rPr>
          <w:rStyle w:val="psuq1"/>
          <w:rFonts w:hint="default"/>
          <w:b/>
          <w:bCs/>
          <w:sz w:val="25"/>
          <w:szCs w:val="25"/>
          <w:rtl/>
        </w:rPr>
        <w:t>קדוש</w:t>
      </w:r>
      <w:r w:rsidR="0022501F">
        <w:rPr>
          <w:rStyle w:val="psuq1"/>
          <w:rFonts w:hint="default"/>
          <w:sz w:val="25"/>
          <w:szCs w:val="25"/>
          <w:rtl/>
        </w:rPr>
        <w:t xml:space="preserve"> אני</w:t>
      </w:r>
      <w:r>
        <w:rPr>
          <w:rStyle w:val="psuq1"/>
          <w:rFonts w:hint="default"/>
          <w:sz w:val="25"/>
          <w:szCs w:val="25"/>
          <w:rtl/>
        </w:rPr>
        <w:t xml:space="preserve"> </w:t>
      </w:r>
      <w:r w:rsidR="00117302">
        <w:rPr>
          <w:rStyle w:val="psuq1"/>
          <w:rFonts w:hint="default"/>
          <w:sz w:val="25"/>
          <w:szCs w:val="25"/>
          <w:rtl/>
        </w:rPr>
        <w:t xml:space="preserve"> (ויקרא </w:t>
      </w:r>
      <w:r w:rsidR="0022501F">
        <w:rPr>
          <w:rStyle w:val="psuq1"/>
          <w:rFonts w:hint="default"/>
          <w:sz w:val="25"/>
          <w:szCs w:val="25"/>
          <w:rtl/>
        </w:rPr>
        <w:t>יט:ב</w:t>
      </w:r>
      <w:r w:rsidR="00117302">
        <w:rPr>
          <w:rStyle w:val="psuq1"/>
          <w:rFonts w:hint="default"/>
          <w:sz w:val="25"/>
          <w:szCs w:val="25"/>
          <w:rtl/>
        </w:rPr>
        <w:t>)</w:t>
      </w:r>
    </w:p>
    <w:p w:rsidR="0095081F" w:rsidRDefault="0095081F" w:rsidP="0095081F">
      <w:pPr>
        <w:pStyle w:val="ListParagraph"/>
      </w:pPr>
    </w:p>
    <w:p w:rsidR="0095081F" w:rsidRPr="0095081F" w:rsidRDefault="0095081F" w:rsidP="0095081F">
      <w:pPr>
        <w:pStyle w:val="ListParagraph"/>
        <w:numPr>
          <w:ilvl w:val="0"/>
          <w:numId w:val="1"/>
        </w:numPr>
        <w:bidi/>
        <w:rPr>
          <w:b/>
          <w:bCs/>
        </w:rPr>
      </w:pPr>
      <w:r w:rsidRPr="0095081F">
        <w:rPr>
          <w:rFonts w:hint="cs"/>
          <w:b/>
          <w:bCs/>
          <w:rtl/>
        </w:rPr>
        <w:t>מורה נבוכים רמב"ם החלק הראשון פרק נד</w:t>
      </w:r>
    </w:p>
    <w:p w:rsidR="00117302" w:rsidRDefault="00E94084" w:rsidP="0095081F">
      <w:pPr>
        <w:jc w:val="right"/>
        <w:rPr>
          <w:rFonts w:cs="FrankRuehl"/>
          <w:sz w:val="28"/>
          <w:szCs w:val="28"/>
        </w:rPr>
      </w:pPr>
      <w:r>
        <w:rPr>
          <w:rFonts w:cs="FrankRuehl" w:hint="cs"/>
          <w:sz w:val="28"/>
          <w:szCs w:val="28"/>
          <w:rtl/>
        </w:rPr>
        <w:t>מכיוון שתכלית מעלת האדם</w:t>
      </w:r>
      <w:hyperlink r:id="rId8" w:tooltip="ביטוי המתפרש לשתי פנים: או שהמעלה המוסרית הגדולה ביותר של האדם היא ההידמות לאל, או שמטרת המעלה המוסרית באדם היא ההידמות לאל." w:history="1">
        <w:r>
          <w:rPr>
            <w:rStyle w:val="Hyperlink"/>
            <w:rFonts w:ascii="Arial" w:hAnsi="Arial" w:cs="Arial"/>
            <w:color w:val="45556E"/>
            <w:sz w:val="18"/>
            <w:szCs w:val="18"/>
            <w:vertAlign w:val="superscript"/>
            <w:rtl/>
          </w:rPr>
          <w:t>34</w:t>
        </w:r>
      </w:hyperlink>
      <w:r>
        <w:rPr>
          <w:rFonts w:cs="FrankRuehl" w:hint="cs"/>
          <w:sz w:val="28"/>
          <w:szCs w:val="28"/>
          <w:rtl/>
        </w:rPr>
        <w:t xml:space="preserve"> היא להידמות אליו יתעלה במידת היכולת, </w:t>
      </w:r>
    </w:p>
    <w:p w:rsidR="00117302" w:rsidRDefault="00E94084" w:rsidP="0095081F">
      <w:pPr>
        <w:jc w:val="right"/>
        <w:rPr>
          <w:rFonts w:cs="FrankRuehl"/>
          <w:sz w:val="28"/>
          <w:szCs w:val="28"/>
        </w:rPr>
      </w:pPr>
      <w:r>
        <w:rPr>
          <w:rFonts w:cs="FrankRuehl" w:hint="cs"/>
          <w:sz w:val="28"/>
          <w:szCs w:val="28"/>
          <w:rtl/>
        </w:rPr>
        <w:t>כלומר, שנדמה את מעשׂינו למעשׂיו,</w:t>
      </w:r>
    </w:p>
    <w:p w:rsidR="00840811" w:rsidRDefault="00E94084" w:rsidP="0095081F">
      <w:pPr>
        <w:jc w:val="right"/>
        <w:rPr>
          <w:rFonts w:cs="FrankRuehl"/>
          <w:sz w:val="28"/>
          <w:szCs w:val="28"/>
          <w:rtl/>
        </w:rPr>
      </w:pPr>
      <w:r>
        <w:rPr>
          <w:rFonts w:cs="FrankRuehl" w:hint="cs"/>
          <w:sz w:val="28"/>
          <w:szCs w:val="28"/>
          <w:rtl/>
        </w:rPr>
        <w:t xml:space="preserve"> כפי שהסבירו בפירוש לקדֹשים תהיו (ויקרא י"ט, 2)</w:t>
      </w:r>
    </w:p>
    <w:p w:rsidR="00840811" w:rsidRDefault="00E94084" w:rsidP="00840811">
      <w:pPr>
        <w:jc w:val="right"/>
        <w:rPr>
          <w:rFonts w:cs="FrankRuehl"/>
          <w:sz w:val="28"/>
          <w:szCs w:val="28"/>
          <w:rtl/>
        </w:rPr>
      </w:pPr>
      <w:r>
        <w:rPr>
          <w:rFonts w:cs="FrankRuehl" w:hint="cs"/>
          <w:sz w:val="28"/>
          <w:szCs w:val="28"/>
          <w:rtl/>
        </w:rPr>
        <w:t xml:space="preserve"> לאמור: מה הוא </w:t>
      </w:r>
      <w:r w:rsidRPr="00242D0A">
        <w:rPr>
          <w:rFonts w:cs="FrankRuehl" w:hint="cs"/>
          <w:b/>
          <w:bCs/>
          <w:sz w:val="28"/>
          <w:szCs w:val="28"/>
          <w:rtl/>
        </w:rPr>
        <w:t>חנון</w:t>
      </w:r>
      <w:r w:rsidR="00840811">
        <w:rPr>
          <w:rFonts w:cs="FrankRuehl" w:hint="cs"/>
          <w:sz w:val="28"/>
          <w:szCs w:val="28"/>
          <w:rtl/>
        </w:rPr>
        <w:t>?</w:t>
      </w:r>
    </w:p>
    <w:p w:rsidR="00840811" w:rsidRDefault="00E94084" w:rsidP="00840811">
      <w:pPr>
        <w:bidi/>
        <w:rPr>
          <w:rFonts w:cs="FrankRuehl"/>
          <w:sz w:val="28"/>
          <w:szCs w:val="28"/>
          <w:rtl/>
        </w:rPr>
      </w:pPr>
      <w:r>
        <w:rPr>
          <w:rFonts w:cs="FrankRuehl" w:hint="cs"/>
          <w:sz w:val="28"/>
          <w:szCs w:val="28"/>
          <w:rtl/>
        </w:rPr>
        <w:t xml:space="preserve"> אף אתה היה חנון</w:t>
      </w:r>
    </w:p>
    <w:p w:rsidR="00840811" w:rsidRDefault="00840811" w:rsidP="00840811">
      <w:pPr>
        <w:bidi/>
        <w:rPr>
          <w:rFonts w:cs="FrankRuehl"/>
          <w:sz w:val="28"/>
          <w:szCs w:val="28"/>
          <w:rtl/>
        </w:rPr>
      </w:pPr>
      <w:r>
        <w:rPr>
          <w:rFonts w:cs="FrankRuehl" w:hint="cs"/>
          <w:sz w:val="28"/>
          <w:szCs w:val="28"/>
          <w:rtl/>
        </w:rPr>
        <w:t xml:space="preserve"> מה הוא </w:t>
      </w:r>
      <w:r w:rsidRPr="00242D0A">
        <w:rPr>
          <w:rFonts w:cs="FrankRuehl" w:hint="cs"/>
          <w:b/>
          <w:bCs/>
          <w:sz w:val="28"/>
          <w:szCs w:val="28"/>
          <w:rtl/>
        </w:rPr>
        <w:t>רחום</w:t>
      </w:r>
      <w:r>
        <w:rPr>
          <w:rFonts w:cs="FrankRuehl" w:hint="cs"/>
          <w:sz w:val="28"/>
          <w:szCs w:val="28"/>
          <w:rtl/>
        </w:rPr>
        <w:t>?</w:t>
      </w:r>
    </w:p>
    <w:p w:rsidR="002E591F" w:rsidRDefault="00E94084" w:rsidP="00840811">
      <w:pPr>
        <w:bidi/>
        <w:rPr>
          <w:rStyle w:val="Hyperlink"/>
          <w:rFonts w:ascii="Arial" w:hAnsi="Arial" w:cs="Arial" w:hint="cs"/>
          <w:color w:val="45556E"/>
          <w:sz w:val="18"/>
          <w:szCs w:val="18"/>
          <w:vertAlign w:val="superscript"/>
          <w:rtl/>
        </w:rPr>
      </w:pPr>
      <w:r>
        <w:rPr>
          <w:rFonts w:cs="FrankRuehl" w:hint="cs"/>
          <w:sz w:val="28"/>
          <w:szCs w:val="28"/>
          <w:rtl/>
        </w:rPr>
        <w:t>אף אתה היה רחום</w:t>
      </w:r>
      <w:hyperlink r:id="rId9" w:tooltip="כבר מונק העיר שאימרה זו מופיעה בספרי, דברים, על הביטוי &quot;ללכת בכל דרכיו&quot; (דברים י', 12) ואכן היא מופיעה (בנוסח שונה מעט מן המובא על-ידי הרמב&quot;ם) בספרי, דברים, פיסקא מט (מהד' פינקלשטין, עמ' 114; מהד' איש-שלום, עמ' פה). והשוו תלמוד בבלי, סוטה י&quot;ד, א (על דברים י&quot;ג," w:history="1">
        <w:r>
          <w:rPr>
            <w:rStyle w:val="Hyperlink"/>
            <w:rFonts w:ascii="Arial" w:hAnsi="Arial" w:cs="Arial"/>
            <w:color w:val="45556E"/>
            <w:sz w:val="18"/>
            <w:szCs w:val="18"/>
            <w:vertAlign w:val="superscript"/>
            <w:rtl/>
          </w:rPr>
          <w:t>35</w:t>
        </w:r>
      </w:hyperlink>
    </w:p>
    <w:p w:rsidR="00E94084" w:rsidRPr="00996E0B" w:rsidRDefault="002E591F" w:rsidP="00996E0B">
      <w:pPr>
        <w:pStyle w:val="ListParagraph"/>
        <w:numPr>
          <w:ilvl w:val="0"/>
          <w:numId w:val="1"/>
        </w:numPr>
        <w:bidi/>
        <w:rPr>
          <w:rFonts w:cs="FrankRuehl"/>
          <w:sz w:val="72"/>
          <w:szCs w:val="72"/>
        </w:rPr>
      </w:pPr>
      <w:r w:rsidRPr="00996E0B">
        <w:rPr>
          <w:rStyle w:val="Hyperlink"/>
          <w:rFonts w:ascii="Arial" w:hAnsi="Arial" w:cs="Arial" w:hint="cs"/>
          <w:color w:val="auto"/>
          <w:sz w:val="72"/>
          <w:szCs w:val="72"/>
          <w:vertAlign w:val="superscript"/>
          <w:rtl/>
        </w:rPr>
        <w:t>מיכה ו:ז</w:t>
      </w:r>
      <w:r w:rsidR="00E94084" w:rsidRPr="00996E0B">
        <w:rPr>
          <w:rFonts w:cs="FrankRuehl" w:hint="cs"/>
          <w:sz w:val="72"/>
          <w:szCs w:val="72"/>
          <w:rtl/>
        </w:rPr>
        <w:t>.</w:t>
      </w:r>
    </w:p>
    <w:p w:rsidR="007834FA" w:rsidRPr="007834FA" w:rsidRDefault="00996E0B" w:rsidP="00996E0B">
      <w:pPr>
        <w:pStyle w:val="ListParagraph"/>
        <w:numPr>
          <w:ilvl w:val="0"/>
          <w:numId w:val="1"/>
        </w:numPr>
        <w:bidi/>
        <w:rPr>
          <w:rStyle w:val="Hyperlink"/>
          <w:rFonts w:hint="cs"/>
          <w:color w:val="auto"/>
          <w:u w:val="none"/>
        </w:rPr>
      </w:pPr>
      <w:r>
        <w:rPr>
          <w:rStyle w:val="Hyperlink"/>
          <w:rFonts w:ascii="Arial" w:hAnsi="Arial" w:cs="Arial" w:hint="cs"/>
          <w:color w:val="auto"/>
          <w:sz w:val="72"/>
          <w:szCs w:val="72"/>
          <w:vertAlign w:val="superscript"/>
          <w:rtl/>
        </w:rPr>
        <w:t>תהילים</w:t>
      </w:r>
      <w:r w:rsidR="007834FA">
        <w:rPr>
          <w:rStyle w:val="Hyperlink"/>
          <w:rFonts w:ascii="Arial" w:hAnsi="Arial" w:cs="Arial" w:hint="cs"/>
          <w:color w:val="auto"/>
          <w:sz w:val="72"/>
          <w:szCs w:val="72"/>
          <w:vertAlign w:val="superscript"/>
          <w:rtl/>
        </w:rPr>
        <w:t xml:space="preserve"> לד:יג-טו</w:t>
      </w:r>
    </w:p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31"/>
        <w:gridCol w:w="5369"/>
      </w:tblGrid>
      <w:tr w:rsidR="00E91C4A" w:rsidRPr="007834FA" w:rsidTr="007834FA">
        <w:trPr>
          <w:tblCellSpacing w:w="30" w:type="dxa"/>
        </w:trPr>
        <w:tc>
          <w:tcPr>
            <w:tcW w:w="0" w:type="auto"/>
            <w:hideMark/>
          </w:tcPr>
          <w:p w:rsidR="007834FA" w:rsidRPr="007834FA" w:rsidRDefault="007834FA" w:rsidP="007834FA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40"/>
                <w:szCs w:val="40"/>
              </w:rPr>
            </w:pPr>
            <w:r w:rsidRPr="007834FA">
              <w:rPr>
                <w:rFonts w:ascii="Times New Roman" w:eastAsia="Times New Roman" w:hAnsi="Times New Roman" w:cs="David" w:hint="cs"/>
                <w:color w:val="000000"/>
                <w:sz w:val="40"/>
                <w:szCs w:val="40"/>
                <w:rtl/>
              </w:rPr>
              <w:t xml:space="preserve">  מִי-הָאִישׁ, הֶחָפֵץ חַיִּים;    אֹהֵב יָמִים, לִרְאוֹת </w:t>
            </w:r>
            <w:r w:rsidRPr="007834FA">
              <w:rPr>
                <w:rFonts w:ascii="Times New Roman" w:eastAsia="Times New Roman" w:hAnsi="Times New Roman" w:cs="David" w:hint="cs"/>
                <w:color w:val="000000"/>
                <w:sz w:val="40"/>
                <w:szCs w:val="40"/>
                <w:rtl/>
              </w:rPr>
              <w:lastRenderedPageBreak/>
              <w:t xml:space="preserve">טוֹב. </w:t>
            </w:r>
          </w:p>
        </w:tc>
        <w:tc>
          <w:tcPr>
            <w:tcW w:w="0" w:type="auto"/>
            <w:hideMark/>
          </w:tcPr>
          <w:p w:rsidR="007834FA" w:rsidRPr="007834FA" w:rsidRDefault="007834FA" w:rsidP="007834FA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9"/>
                <w:szCs w:val="29"/>
              </w:rPr>
            </w:pPr>
          </w:p>
        </w:tc>
      </w:tr>
      <w:tr w:rsidR="00E91C4A" w:rsidRPr="007834FA" w:rsidTr="007834FA">
        <w:trPr>
          <w:tblCellSpacing w:w="30" w:type="dxa"/>
        </w:trPr>
        <w:tc>
          <w:tcPr>
            <w:tcW w:w="0" w:type="auto"/>
            <w:hideMark/>
          </w:tcPr>
          <w:p w:rsidR="007834FA" w:rsidRPr="007834FA" w:rsidRDefault="007834FA" w:rsidP="007834FA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40"/>
                <w:szCs w:val="40"/>
              </w:rPr>
            </w:pPr>
            <w:bookmarkStart w:id="0" w:name="14"/>
            <w:bookmarkEnd w:id="0"/>
            <w:r w:rsidRPr="007834FA">
              <w:rPr>
                <w:rFonts w:ascii="Times New Roman" w:eastAsia="Times New Roman" w:hAnsi="Times New Roman" w:cs="David" w:hint="cs"/>
                <w:b/>
                <w:bCs/>
                <w:color w:val="000000"/>
                <w:sz w:val="40"/>
                <w:szCs w:val="40"/>
                <w:rtl/>
              </w:rPr>
              <w:lastRenderedPageBreak/>
              <w:t>יד</w:t>
            </w:r>
            <w:r w:rsidRPr="007834FA">
              <w:rPr>
                <w:rFonts w:ascii="Times New Roman" w:eastAsia="Times New Roman" w:hAnsi="Times New Roman" w:cs="David" w:hint="cs"/>
                <w:color w:val="000000"/>
                <w:sz w:val="40"/>
                <w:szCs w:val="40"/>
                <w:rtl/>
              </w:rPr>
              <w:t xml:space="preserve">  נְצֹר לְשׁוֹנְךָ מֵרָע;    וּשְׂפָתֶיךָ, מִדַּבֵּר מִרְמָה. </w:t>
            </w:r>
          </w:p>
        </w:tc>
        <w:tc>
          <w:tcPr>
            <w:tcW w:w="0" w:type="auto"/>
            <w:hideMark/>
          </w:tcPr>
          <w:p w:rsidR="007834FA" w:rsidRPr="007834FA" w:rsidRDefault="007834FA" w:rsidP="007834FA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9"/>
                <w:szCs w:val="29"/>
              </w:rPr>
            </w:pPr>
            <w:r w:rsidRPr="007834FA">
              <w:rPr>
                <w:rFonts w:ascii="Times New Roman" w:eastAsia="Times New Roman" w:hAnsi="Times New Roman" w:cs="David" w:hint="cs"/>
                <w:b/>
                <w:bCs/>
                <w:color w:val="000000"/>
                <w:sz w:val="29"/>
                <w:szCs w:val="29"/>
              </w:rPr>
              <w:t>14</w:t>
            </w:r>
            <w:r w:rsidRPr="007834FA">
              <w:rPr>
                <w:rFonts w:ascii="Times New Roman" w:eastAsia="Times New Roman" w:hAnsi="Times New Roman" w:cs="David" w:hint="cs"/>
                <w:color w:val="000000"/>
                <w:sz w:val="29"/>
                <w:szCs w:val="29"/>
              </w:rPr>
              <w:t xml:space="preserve"> Keep </w:t>
            </w:r>
            <w:r>
              <w:rPr>
                <w:rFonts w:ascii="Times New Roman" w:eastAsia="Times New Roman" w:hAnsi="Times New Roman" w:cs="David"/>
                <w:color w:val="000000"/>
                <w:sz w:val="29"/>
                <w:szCs w:val="29"/>
              </w:rPr>
              <w:t>your</w:t>
            </w:r>
            <w:r w:rsidRPr="007834FA">
              <w:rPr>
                <w:rFonts w:ascii="Times New Roman" w:eastAsia="Times New Roman" w:hAnsi="Times New Roman" w:cs="David" w:hint="cs"/>
                <w:color w:val="000000"/>
                <w:sz w:val="29"/>
                <w:szCs w:val="29"/>
              </w:rPr>
              <w:t xml:space="preserve"> tongue from evil, and </w:t>
            </w:r>
            <w:r>
              <w:rPr>
                <w:rFonts w:ascii="Times New Roman" w:eastAsia="Times New Roman" w:hAnsi="Times New Roman" w:cs="David"/>
                <w:color w:val="000000"/>
                <w:sz w:val="29"/>
                <w:szCs w:val="29"/>
              </w:rPr>
              <w:t>your</w:t>
            </w:r>
            <w:r w:rsidR="00E91C4A">
              <w:rPr>
                <w:rFonts w:ascii="Times New Roman" w:eastAsia="Times New Roman" w:hAnsi="Times New Roman" w:cs="David"/>
                <w:color w:val="000000"/>
                <w:sz w:val="29"/>
                <w:szCs w:val="29"/>
              </w:rPr>
              <w:t xml:space="preserve">                                                                  </w:t>
            </w:r>
            <w:bookmarkStart w:id="1" w:name="_GoBack"/>
            <w:bookmarkEnd w:id="1"/>
            <w:r w:rsidRPr="007834FA">
              <w:rPr>
                <w:rFonts w:ascii="Times New Roman" w:eastAsia="Times New Roman" w:hAnsi="Times New Roman" w:cs="David" w:hint="cs"/>
                <w:color w:val="000000"/>
                <w:sz w:val="29"/>
                <w:szCs w:val="29"/>
              </w:rPr>
              <w:t xml:space="preserve"> lips from speaking guile.</w:t>
            </w:r>
          </w:p>
        </w:tc>
      </w:tr>
      <w:tr w:rsidR="00E91C4A" w:rsidRPr="007834FA" w:rsidTr="007834FA">
        <w:trPr>
          <w:tblCellSpacing w:w="30" w:type="dxa"/>
        </w:trPr>
        <w:tc>
          <w:tcPr>
            <w:tcW w:w="0" w:type="auto"/>
            <w:hideMark/>
          </w:tcPr>
          <w:p w:rsidR="007834FA" w:rsidRPr="007834FA" w:rsidRDefault="007834FA" w:rsidP="007834FA">
            <w:pPr>
              <w:bidi/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40"/>
                <w:szCs w:val="40"/>
              </w:rPr>
            </w:pPr>
            <w:bookmarkStart w:id="2" w:name="15"/>
            <w:bookmarkEnd w:id="2"/>
            <w:r w:rsidRPr="007834FA">
              <w:rPr>
                <w:rFonts w:ascii="Times New Roman" w:eastAsia="Times New Roman" w:hAnsi="Times New Roman" w:cs="David" w:hint="cs"/>
                <w:b/>
                <w:bCs/>
                <w:color w:val="000000"/>
                <w:sz w:val="40"/>
                <w:szCs w:val="40"/>
                <w:rtl/>
              </w:rPr>
              <w:t>טו</w:t>
            </w:r>
            <w:r w:rsidRPr="007834FA">
              <w:rPr>
                <w:rFonts w:ascii="Times New Roman" w:eastAsia="Times New Roman" w:hAnsi="Times New Roman" w:cs="David" w:hint="cs"/>
                <w:color w:val="000000"/>
                <w:sz w:val="40"/>
                <w:szCs w:val="40"/>
                <w:rtl/>
              </w:rPr>
              <w:t xml:space="preserve">  סוּר מֵרָע, וַעֲשֵׂה-טוֹב;    בַּקֵּשׁ שָׁלוֹם וְרָדְפֵהוּ. </w:t>
            </w:r>
          </w:p>
        </w:tc>
        <w:tc>
          <w:tcPr>
            <w:tcW w:w="0" w:type="auto"/>
            <w:hideMark/>
          </w:tcPr>
          <w:p w:rsidR="007834FA" w:rsidRPr="007834FA" w:rsidRDefault="007834FA" w:rsidP="007834FA">
            <w:pPr>
              <w:spacing w:after="0" w:line="240" w:lineRule="auto"/>
              <w:rPr>
                <w:rFonts w:ascii="Times New Roman" w:eastAsia="Times New Roman" w:hAnsi="Times New Roman" w:cs="David"/>
                <w:color w:val="000000"/>
                <w:sz w:val="29"/>
                <w:szCs w:val="29"/>
              </w:rPr>
            </w:pPr>
            <w:r w:rsidRPr="007834FA">
              <w:rPr>
                <w:rFonts w:ascii="Times New Roman" w:eastAsia="Times New Roman" w:hAnsi="Times New Roman" w:cs="David" w:hint="cs"/>
                <w:b/>
                <w:bCs/>
                <w:color w:val="000000"/>
                <w:sz w:val="29"/>
                <w:szCs w:val="29"/>
              </w:rPr>
              <w:t>15</w:t>
            </w:r>
            <w:r w:rsidRPr="007834FA">
              <w:rPr>
                <w:rFonts w:ascii="Times New Roman" w:eastAsia="Times New Roman" w:hAnsi="Times New Roman" w:cs="David" w:hint="cs"/>
                <w:color w:val="000000"/>
                <w:sz w:val="29"/>
                <w:szCs w:val="29"/>
              </w:rPr>
              <w:t xml:space="preserve"> Depart from evil, and do good; seek peace, and pursue it.</w:t>
            </w:r>
          </w:p>
        </w:tc>
      </w:tr>
    </w:tbl>
    <w:p w:rsidR="00996E0B" w:rsidRPr="007834FA" w:rsidRDefault="00996E0B" w:rsidP="007834FA">
      <w:pPr>
        <w:pStyle w:val="ListParagraph"/>
        <w:bidi/>
      </w:pPr>
    </w:p>
    <w:sectPr w:rsidR="00996E0B" w:rsidRPr="007834F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227" w:rsidRDefault="00152227" w:rsidP="0074587D">
      <w:pPr>
        <w:spacing w:after="0" w:line="240" w:lineRule="auto"/>
      </w:pPr>
      <w:r>
        <w:separator/>
      </w:r>
    </w:p>
  </w:endnote>
  <w:endnote w:type="continuationSeparator" w:id="0">
    <w:p w:rsidR="00152227" w:rsidRDefault="00152227" w:rsidP="0074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227" w:rsidRDefault="00152227" w:rsidP="0074587D">
      <w:pPr>
        <w:spacing w:after="0" w:line="240" w:lineRule="auto"/>
      </w:pPr>
      <w:r>
        <w:separator/>
      </w:r>
    </w:p>
  </w:footnote>
  <w:footnote w:type="continuationSeparator" w:id="0">
    <w:p w:rsidR="00152227" w:rsidRDefault="00152227" w:rsidP="0074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87D" w:rsidRDefault="0074587D" w:rsidP="0074587D">
    <w:pPr>
      <w:pStyle w:val="Header"/>
    </w:pPr>
    <w:r>
      <w:t xml:space="preserve">Contemporary Jewish Issues </w:t>
    </w:r>
    <w:r>
      <w:ptab w:relativeTo="margin" w:alignment="center" w:leader="none"/>
    </w:r>
    <w:r>
      <w:tab/>
    </w:r>
    <w:r>
      <w:rPr>
        <w:noProof/>
      </w:rPr>
      <w:drawing>
        <wp:inline distT="0" distB="0" distL="0" distR="0" wp14:anchorId="06AFDD8E" wp14:editId="23D35380">
          <wp:extent cx="1339098" cy="586596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connect logos bet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938" cy="588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B14BD"/>
    <w:multiLevelType w:val="hybridMultilevel"/>
    <w:tmpl w:val="6B201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10A6D"/>
    <w:multiLevelType w:val="hybridMultilevel"/>
    <w:tmpl w:val="274CE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84"/>
    <w:rsid w:val="00117302"/>
    <w:rsid w:val="00152227"/>
    <w:rsid w:val="0022501F"/>
    <w:rsid w:val="00225A21"/>
    <w:rsid w:val="00242D0A"/>
    <w:rsid w:val="002E591F"/>
    <w:rsid w:val="0032594D"/>
    <w:rsid w:val="0074587D"/>
    <w:rsid w:val="007834FA"/>
    <w:rsid w:val="00840811"/>
    <w:rsid w:val="0095081F"/>
    <w:rsid w:val="00954862"/>
    <w:rsid w:val="00996E0B"/>
    <w:rsid w:val="00AF4243"/>
    <w:rsid w:val="00C51CED"/>
    <w:rsid w:val="00E91C4A"/>
    <w:rsid w:val="00E9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42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40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081F"/>
    <w:pPr>
      <w:ind w:left="720"/>
      <w:contextualSpacing/>
    </w:pPr>
  </w:style>
  <w:style w:type="character" w:customStyle="1" w:styleId="psuq1">
    <w:name w:val="psuq1"/>
    <w:basedOn w:val="DefaultParagraphFont"/>
    <w:rsid w:val="0095081F"/>
    <w:rPr>
      <w:rFonts w:cs="Narkisim" w:hint="cs"/>
      <w:i w:val="0"/>
      <w:iCs w:val="0"/>
      <w:color w:val="111155"/>
      <w:sz w:val="34"/>
      <w:szCs w:val="34"/>
    </w:rPr>
  </w:style>
  <w:style w:type="paragraph" w:styleId="Header">
    <w:name w:val="header"/>
    <w:basedOn w:val="Normal"/>
    <w:link w:val="HeaderChar"/>
    <w:uiPriority w:val="99"/>
    <w:unhideWhenUsed/>
    <w:rsid w:val="00745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87D"/>
  </w:style>
  <w:style w:type="paragraph" w:styleId="Footer">
    <w:name w:val="footer"/>
    <w:basedOn w:val="Normal"/>
    <w:link w:val="FooterChar"/>
    <w:uiPriority w:val="99"/>
    <w:unhideWhenUsed/>
    <w:rsid w:val="00745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87D"/>
  </w:style>
  <w:style w:type="paragraph" w:styleId="BalloonText">
    <w:name w:val="Balloon Text"/>
    <w:basedOn w:val="Normal"/>
    <w:link w:val="BalloonTextChar"/>
    <w:uiPriority w:val="99"/>
    <w:semiHidden/>
    <w:unhideWhenUsed/>
    <w:rsid w:val="0074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87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F4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42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40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081F"/>
    <w:pPr>
      <w:ind w:left="720"/>
      <w:contextualSpacing/>
    </w:pPr>
  </w:style>
  <w:style w:type="character" w:customStyle="1" w:styleId="psuq1">
    <w:name w:val="psuq1"/>
    <w:basedOn w:val="DefaultParagraphFont"/>
    <w:rsid w:val="0095081F"/>
    <w:rPr>
      <w:rFonts w:cs="Narkisim" w:hint="cs"/>
      <w:i w:val="0"/>
      <w:iCs w:val="0"/>
      <w:color w:val="111155"/>
      <w:sz w:val="34"/>
      <w:szCs w:val="34"/>
    </w:rPr>
  </w:style>
  <w:style w:type="paragraph" w:styleId="Header">
    <w:name w:val="header"/>
    <w:basedOn w:val="Normal"/>
    <w:link w:val="HeaderChar"/>
    <w:uiPriority w:val="99"/>
    <w:unhideWhenUsed/>
    <w:rsid w:val="00745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87D"/>
  </w:style>
  <w:style w:type="paragraph" w:styleId="Footer">
    <w:name w:val="footer"/>
    <w:basedOn w:val="Normal"/>
    <w:link w:val="FooterChar"/>
    <w:uiPriority w:val="99"/>
    <w:unhideWhenUsed/>
    <w:rsid w:val="00745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87D"/>
  </w:style>
  <w:style w:type="paragraph" w:styleId="BalloonText">
    <w:name w:val="Balloon Text"/>
    <w:basedOn w:val="Normal"/>
    <w:link w:val="BalloonTextChar"/>
    <w:uiPriority w:val="99"/>
    <w:semiHidden/>
    <w:unhideWhenUsed/>
    <w:rsid w:val="00745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87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F42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FtWindow('1_54',34,'PerplexedFoot','width=520,height=430,scrollbars=yes,resizable=yes')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avascript:openFtWindow('1_54',35,'PerplexedFoot','width=520,height=430,scrollbars=yes,resizable=yes')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Semadar Goldstein</dc:creator>
  <cp:lastModifiedBy>Semadar Goldstein</cp:lastModifiedBy>
  <cp:revision>13</cp:revision>
  <dcterms:created xsi:type="dcterms:W3CDTF">2010-10-01T11:43:00Z</dcterms:created>
  <dcterms:modified xsi:type="dcterms:W3CDTF">2010-10-03T14:14:00Z</dcterms:modified>
</cp:coreProperties>
</file>